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mallCaps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u w:val="single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b="0" l="0" r="0" t="0"/>
                <wp:wrapNone/>
                <wp:docPr id="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20275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GrpSpPr/>
                        <wpg:grpSpPr>
                          <a:xfrm>
                            <a:off x="2202750" y="0"/>
                            <a:ext cx="6286500" cy="7560000"/>
                            <a:chOff x="-133357" y="-2276513"/>
                            <a:chExt cx="6286835" cy="83205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-133357" y="-2276513"/>
                              <a:ext cx="6286825" cy="8320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" name="Shape 4"/>
                          <wps:spPr>
                            <a:xfrm>
                              <a:off x="2980383" y="5629376"/>
                              <a:ext cx="3173095" cy="4146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righ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5" name="Shape 5"/>
                          <wps:spPr>
                            <a:xfrm>
                              <a:off x="-133357" y="-2276513"/>
                              <a:ext cx="5485128" cy="46151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1f497d"/>
                                    <w:sz w:val="72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1f497d"/>
                                    <w:sz w:val="72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1f497d"/>
                                    <w:sz w:val="72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1f497d"/>
                                    <w:sz w:val="72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1f497d"/>
                                    <w:sz w:val="72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1f497d"/>
                                    <w:sz w:val="72"/>
                                    <w:vertAlign w:val="baseline"/>
                                  </w:rPr>
                                  <w:t xml:space="preserve">Framework 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1f497d"/>
                                    <w:sz w:val="72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1f497d"/>
                                    <w:sz w:val="72"/>
                                    <w:vertAlign w:val="baseline"/>
                                  </w:rPr>
                                  <w:t xml:space="preserve">Award Form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1f497d"/>
                                    <w:sz w:val="72"/>
                                    <w:vertAlign w:val="baseline"/>
                                  </w:rPr>
                                </w:r>
                              </w:p>
                            </w:txbxContent>
                          </wps:txbx>
                          <wps:bodyPr anchorCtr="0" anchor="b" bIns="45700" lIns="91425" spcFirstLastPara="1" rIns="91425" wrap="square" tIns="4570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0" cy="83204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96521</wp:posOffset>
            </wp:positionH>
            <wp:positionV relativeFrom="paragraph">
              <wp:posOffset>1698625</wp:posOffset>
            </wp:positionV>
            <wp:extent cx="1647190" cy="1371600"/>
            <wp:effectExtent b="0" l="0" r="0" t="0"/>
            <wp:wrapNone/>
            <wp:docPr descr="Crown Commercial Service" id="4" name="image2.png"/>
            <a:graphic>
              <a:graphicData uri="http://schemas.openxmlformats.org/drawingml/2006/picture">
                <pic:pic>
                  <pic:nvPicPr>
                    <pic:cNvPr descr="Crown Commercial Service" id="0" name="image2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Framework Award Form creates the Framework Contract. It summarises the main features of the procurement and includes CCS and the Supplier’s contact details.</w:t>
      </w:r>
    </w:p>
    <w:tbl>
      <w:tblPr>
        <w:tblStyle w:val="Table1"/>
        <w:tblW w:w="10531.0" w:type="dxa"/>
        <w:jc w:val="left"/>
        <w:tblInd w:w="-73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436"/>
        <w:gridCol w:w="2025"/>
        <w:gridCol w:w="8070"/>
        <w:tblGridChange w:id="0">
          <w:tblGrid>
            <w:gridCol w:w="436"/>
            <w:gridCol w:w="2025"/>
            <w:gridCol w:w="8070"/>
          </w:tblGrid>
        </w:tblGridChange>
      </w:tblGrid>
      <w:tr>
        <w:trPr>
          <w:cantSplit w:val="0"/>
          <w:trHeight w:val="1072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CCS </w:t>
            </w:r>
          </w:p>
        </w:tc>
        <w:tc>
          <w:tcPr/>
          <w:p w:rsidR="00000000" w:rsidDel="00000000" w:rsidP="00000000" w:rsidRDefault="00000000" w:rsidRPr="00000000" w14:paraId="00000006">
            <w:pPr>
              <w:pageBreakBefore w:val="0"/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The Minister for the Cabinet Office represented by its executive agency the Crown Commercial Service (CCS). </w:t>
            </w:r>
          </w:p>
          <w:p w:rsidR="00000000" w:rsidDel="00000000" w:rsidP="00000000" w:rsidRDefault="00000000" w:rsidRPr="00000000" w14:paraId="00000007">
            <w:pPr>
              <w:pageBreakBefore w:val="0"/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pageBreakBefore w:val="0"/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Its offices are on: 9th Floor, The Capital, Old Hall Street, Liverpool L3 9PP.</w:t>
            </w:r>
          </w:p>
          <w:p w:rsidR="00000000" w:rsidDel="00000000" w:rsidP="00000000" w:rsidRDefault="00000000" w:rsidRPr="00000000" w14:paraId="00000009">
            <w:pPr>
              <w:pageBreakBefore w:val="0"/>
              <w:spacing w:after="0" w:lineRule="auto"/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6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Supplier</w:t>
            </w:r>
          </w:p>
        </w:tc>
        <w:tc>
          <w:tcPr/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7287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2296"/>
              <w:gridCol w:w="4991"/>
              <w:tblGridChange w:id="0">
                <w:tblGrid>
                  <w:gridCol w:w="2296"/>
                  <w:gridCol w:w="4991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D">
                  <w:pPr>
                    <w:pageBreakBefore w:val="0"/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Name: </w:t>
                  </w:r>
                </w:p>
              </w:tc>
              <w:tc>
                <w:tcPr/>
                <w:p w:rsidR="00000000" w:rsidDel="00000000" w:rsidP="00000000" w:rsidRDefault="00000000" w:rsidRPr="00000000" w14:paraId="0000000E">
                  <w:pPr>
                    <w:pageBreakBefore w:val="0"/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highlight w:val="yellow"/>
                      <w:rtl w:val="0"/>
                    </w:rPr>
                    <w:t xml:space="preserve">[Insert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name (registered name if registered)]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F">
                  <w:pPr>
                    <w:pageBreakBefore w:val="0"/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Address: </w:t>
                  </w:r>
                </w:p>
              </w:tc>
              <w:tc>
                <w:tcPr/>
                <w:p w:rsidR="00000000" w:rsidDel="00000000" w:rsidP="00000000" w:rsidRDefault="00000000" w:rsidRPr="00000000" w14:paraId="00000010">
                  <w:pPr>
                    <w:pageBreakBefore w:val="0"/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highlight w:val="yellow"/>
                      <w:rtl w:val="0"/>
                    </w:rPr>
                    <w:t xml:space="preserve">Insert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address registered address if registered]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1">
                  <w:pPr>
                    <w:pageBreakBefore w:val="0"/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Registration number:    </w:t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pageBreakBefore w:val="0"/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highlight w:val="yellow"/>
                      <w:rtl w:val="0"/>
                    </w:rPr>
                    <w:t xml:space="preserve">Insert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 registration number if registered]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3">
                  <w:pPr>
                    <w:pageBreakBefore w:val="0"/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SID4GOV ID: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pageBreakBefore w:val="0"/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highlight w:val="yellow"/>
                      <w:rtl w:val="0"/>
                    </w:rPr>
                    <w:t xml:space="preserve">Insert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 SID4GOV ID if you have on</w:t>
                  </w: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e]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5">
                  <w:pPr>
                    <w:pageBreakBefore w:val="0"/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pageBreakBefore w:val="0"/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7">
            <w:pPr>
              <w:pageBreakBefore w:val="0"/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6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 Contract</w:t>
            </w:r>
          </w:p>
        </w:tc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This framework contract between CCS and the Supplier allows the Supplier to be considered for Call-off Contracts to supply the Deliverables [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in Lot(s) [x, y]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You cannot deliver in any other Lot under this contract. Any references made to other Lots in this contract do not apply.] 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This opportunity is advertised in the Contract Notice in the Find a Tender Service reference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reference number] (FTS Contract Notice).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7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1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Deliverables </w:t>
            </w:r>
          </w:p>
        </w:tc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general description of the Deliverables, by Lot if relevant]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See Framework Schedule 1 (Specification) for further details.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3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 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Start Date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pageBreakBefore w:val="0"/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Day Month Year]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" w:hRule="atLeast"/>
          <w:tblHeader w:val="0"/>
        </w:trPr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 Expiry Date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pageBreakBefore w:val="0"/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Day Month Year]</w:t>
            </w:r>
          </w:p>
        </w:tc>
      </w:tr>
      <w:tr>
        <w:trPr>
          <w:cantSplit w:val="0"/>
          <w:trHeight w:val="471" w:hRule="atLeast"/>
          <w:tblHeader w:val="0"/>
        </w:trPr>
        <w:tc>
          <w:tcPr/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Optional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Extension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</w:t>
            </w:r>
          </w:p>
        </w:tc>
        <w:tc>
          <w:tcPr/>
          <w:p w:rsidR="00000000" w:rsidDel="00000000" w:rsidP="00000000" w:rsidRDefault="00000000" w:rsidRPr="00000000" w14:paraId="00000031">
            <w:pPr>
              <w:pageBreakBefore w:val="0"/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 about extensions of this contract]</w:t>
            </w:r>
          </w:p>
          <w:p w:rsidR="00000000" w:rsidDel="00000000" w:rsidP="00000000" w:rsidRDefault="00000000" w:rsidRPr="00000000" w14:paraId="00000032">
            <w:pPr>
              <w:pageBreakBefore w:val="0"/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Up to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Day Month Year]</w:t>
            </w:r>
          </w:p>
        </w:tc>
      </w:tr>
      <w:tr>
        <w:trPr>
          <w:cantSplit w:val="0"/>
          <w:trHeight w:val="837" w:hRule="atLeast"/>
          <w:tblHeader w:val="0"/>
        </w:trPr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Order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Procedure</w:t>
            </w:r>
          </w:p>
        </w:tc>
        <w:tc>
          <w:tcPr/>
          <w:p w:rsidR="00000000" w:rsidDel="00000000" w:rsidP="00000000" w:rsidRDefault="00000000" w:rsidRPr="00000000" w14:paraId="00000036">
            <w:pPr>
              <w:pageBreakBefore w:val="0"/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any not relevant:]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936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[direct award] 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936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[partially re-opening competition] 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936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[further competition]</w:t>
            </w:r>
          </w:p>
          <w:p w:rsidR="00000000" w:rsidDel="00000000" w:rsidP="00000000" w:rsidRDefault="00000000" w:rsidRPr="00000000" w14:paraId="0000003A">
            <w:pPr>
              <w:pageBreakBefore w:val="0"/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ageBreakBefore w:val="0"/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See Framework Schedule 7 (Call-off Award Procedure)</w:t>
            </w:r>
          </w:p>
          <w:p w:rsidR="00000000" w:rsidDel="00000000" w:rsidP="00000000" w:rsidRDefault="00000000" w:rsidRPr="00000000" w14:paraId="0000003C">
            <w:pPr>
              <w:pageBreakBefore w:val="0"/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1" w:hRule="atLeast"/>
          <w:tblHeader w:val="0"/>
        </w:trPr>
        <w:tc>
          <w:tcPr/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 Incorporated Terms </w:t>
            </w:r>
          </w:p>
          <w:p w:rsidR="00000000" w:rsidDel="00000000" w:rsidP="00000000" w:rsidRDefault="00000000" w:rsidRPr="00000000" w14:paraId="0000003F">
            <w:pPr>
              <w:pageBreakBefore w:val="0"/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pageBreakBefore w:val="0"/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(together these documents form the ‘the Framework Contract’)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pageBreakBefore w:val="0"/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pageBreakBefore w:val="0"/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pageBreakBefore w:val="0"/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pageBreakBefore w:val="0"/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pageBreakBefore w:val="0"/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pageBreakBefore w:val="0"/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pageBreakBefore w:val="0"/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pageBreakBefore w:val="0"/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pageBreakBefore w:val="0"/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pageBreakBefore w:val="0"/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pageBreakBefore w:val="0"/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pageBreakBefore w:val="0"/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pageBreakBefore w:val="0"/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pageBreakBefore w:val="0"/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pageBreakBefore w:val="0"/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pageBreakBefore w:val="0"/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pageBreakBefore w:val="0"/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z w:val="24"/>
                <w:szCs w:val="24"/>
                <w:rtl w:val="0"/>
              </w:rPr>
              <w:t xml:space="preserve">The following documents are incorporated into the Framework Contract. Where numbers are missing we are not using these schedules. If the documents conflict, the following order of precedence applies: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5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This Framework Award Form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5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Any Framework Special Terms (see Section 10 ‘Framework Special Terms’ in this Framework Award Form)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5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Joint Schedule 1 (Definitions)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 reference number] 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5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Joint Schedule 11 (Processing Data)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 reference number]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5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The following Schedules for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 reference number] (in equal order of precedence):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5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any highlighted Schedule that is not needed for this procurement.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any additional Schedule that is needed.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Remove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any highlighting remaining before publication.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that the parallel section in the Order Form is handled differently.]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numPr>
                <w:ilvl w:val="1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 Schedule 1 (Specification) 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numPr>
                <w:ilvl w:val="1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 Schedule 3 (Framework Prices)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numPr>
                <w:ilvl w:val="1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 Schedule 4 (Framework Management)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numPr>
                <w:ilvl w:val="1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 Schedule 5 (Management Charges and Information)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numPr>
                <w:ilvl w:val="1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 Schedule 6 (Order Form Template and Call-Off Schedules) including the following template Call-Off Schedules: 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numPr>
                <w:ilvl w:val="2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Call-Off Schedule 1 (Transparency Reports)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numPr>
                <w:ilvl w:val="2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Call-Off Schedule 2 (Staff Transfer)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numPr>
                <w:ilvl w:val="2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Call-Off Schedule 3 (Continuous Improvement)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numPr>
                <w:ilvl w:val="2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 4 (Call-Off Tender)</w:t>
              <w:tab/>
              <w:tab/>
              <w:t xml:space="preserve">]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numPr>
                <w:ilvl w:val="2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 5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Pricing Details)</w:t>
              <w:tab/>
              <w:t xml:space="preserve">           ]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numPr>
                <w:ilvl w:val="2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 6 (ICT Services) </w:t>
              <w:tab/>
              <w:tab/>
              <w:t xml:space="preserve">]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numPr>
                <w:ilvl w:val="2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 7 (Key Supplier Staff)</w:t>
              <w:tab/>
              <w:tab/>
              <w:t xml:space="preserve">]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numPr>
                <w:ilvl w:val="2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 8 (Business Continuity and Disaster Recovery) ]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numPr>
                <w:ilvl w:val="2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 9 (Security)</w:t>
              <w:tab/>
              <w:tab/>
              <w:t xml:space="preserve"> </w:t>
              <w:tab/>
              <w:t xml:space="preserve">] 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numPr>
                <w:ilvl w:val="2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 10 (Exit Management) </w:t>
              <w:tab/>
              <w:t xml:space="preserve">]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numPr>
                <w:ilvl w:val="2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 11 (Installation Works) </w:t>
              <w:tab/>
              <w:t xml:space="preserve">]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numPr>
                <w:ilvl w:val="2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 12 (Clustering) </w:t>
              <w:tab/>
              <w:tab/>
              <w:t xml:space="preserve">]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numPr>
                <w:ilvl w:val="2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 13 (Implementation Plan and Testing)]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numPr>
                <w:ilvl w:val="2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 14 (Service Levels) </w:t>
              <w:tab/>
              <w:tab/>
              <w:t xml:space="preserve">]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numPr>
                <w:ilvl w:val="2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 15 (Call-Off Contract Management)]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numPr>
                <w:ilvl w:val="2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 16 (Benchmarking) </w:t>
              <w:tab/>
              <w:tab/>
              <w:t xml:space="preserve">]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numPr>
                <w:ilvl w:val="2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 17 (MOD Terms) </w:t>
              <w:tab/>
              <w:tab/>
              <w:t xml:space="preserve">]               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numPr>
                <w:ilvl w:val="2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 18 (Background Checks) </w:t>
              <w:tab/>
              <w:t xml:space="preserve">]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numPr>
                <w:ilvl w:val="2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 19 (Scottish Law)</w:t>
              <w:tab/>
              <w:tab/>
              <w:t xml:space="preserve">]      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numPr>
                <w:ilvl w:val="2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 20 (Call-Off Specification)    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numPr>
                <w:ilvl w:val="2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 21 (Northern Ireland Law)    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numPr>
                <w:ilvl w:val="2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[Call-Off Schedule 22 (Lease Terms)                 ]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numPr>
                <w:ilvl w:val="2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[Call-Off Schedule 23 (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HMRC Terms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                ] 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numPr>
                <w:ilvl w:val="2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[Call-Off Schedule 24(  )</w:t>
              <w:tab/>
              <w:tab/>
              <w:tab/>
              <w:tab/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 Schedule 7 (Call-Off Award Procedure)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 Schedule 8 (Self Audit Certificate)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[Framework Schedule 9 (Cyber Essentials Scheme)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Joint Schedule 2 (Variation Form)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Joint Schedule 3 (Insurance Requirements)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Joint Schedule 4 (Commercially Sensitive Information)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[Joint Schedule 6 (Key Subcontractors)]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[Joint Schedule 7 (Financial Difficulties)]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[Joint Schedule 8 (Guarantee)]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[Joint Schedule 9 (Minimum Standards of Reliability)]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Joint Schedule 10 (Rectification Plan)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[Joint Schedule 12 (Supply Chain Visibility)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]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5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CCS Core Terms (version 3.0.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5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Joint Schedule 5 (Corporate Social Responsibility)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 reference number]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5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 Schedule 2 (Framework Tender)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 reference number] as long as any part of the Framework Tender that offers a better commercial position for CCS or Buyers (as decided by CCS) take precedence over the documents above 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 Special Terms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Special Term 1 -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terms to revise or supplement Core Terms or Schedules, 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enter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‘N/A’ and delete the extra rows below]</w:t>
            </w:r>
          </w:p>
          <w:p w:rsidR="00000000" w:rsidDel="00000000" w:rsidP="00000000" w:rsidRDefault="00000000" w:rsidRPr="00000000" w14:paraId="0000008A">
            <w:pPr>
              <w:pageBreakBefore w:val="0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run any proposed special terms past the Policy Implementation team. Please email operationalsupport@crowncommercial.gov.uk]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Special Term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2 -  ]</w:t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Special Term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3 -  ]</w:t>
            </w:r>
          </w:p>
        </w:tc>
      </w:tr>
      <w:tr>
        <w:trPr>
          <w:cantSplit w:val="0"/>
          <w:trHeight w:val="55" w:hRule="atLeast"/>
          <w:tblHeader w:val="0"/>
        </w:trPr>
        <w:tc>
          <w:tcPr/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 Prices </w:t>
            </w:r>
          </w:p>
        </w:tc>
        <w:tc>
          <w:tcPr/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information about the prices]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in Framework Schedule 3 (Framework Prices)</w:t>
            </w:r>
          </w:p>
        </w:tc>
      </w:tr>
      <w:tr>
        <w:trPr>
          <w:cantSplit w:val="0"/>
          <w:trHeight w:val="569" w:hRule="atLeast"/>
          <w:tblHeader w:val="0"/>
        </w:trPr>
        <w:tc>
          <w:tcPr/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Insurance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Details in Annex of Joint Schedule 3 (Insurance Requirements).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9" w:hRule="atLeast"/>
          <w:tblHeader w:val="0"/>
        </w:trPr>
        <w:tc>
          <w:tcPr/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Cyber 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Essentials Certification</w:t>
            </w:r>
          </w:p>
        </w:tc>
        <w:tc>
          <w:tcPr/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if not required]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[Not required] 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[Cyber Essentials Scheme [Basic / Plus] Certificate (or equivalent). Details in Framework Schedule F9 (Cyber Essentials Scheme)]</w:t>
            </w:r>
          </w:p>
        </w:tc>
      </w:tr>
      <w:tr>
        <w:trPr>
          <w:cantSplit w:val="0"/>
          <w:trHeight w:val="731" w:hRule="atLeast"/>
          <w:tblHeader w:val="0"/>
        </w:trPr>
        <w:tc>
          <w:tcPr/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Management Charge</w:t>
            </w:r>
          </w:p>
        </w:tc>
        <w:tc>
          <w:tcPr/>
          <w:p w:rsidR="00000000" w:rsidDel="00000000" w:rsidP="00000000" w:rsidRDefault="00000000" w:rsidRPr="00000000" w14:paraId="000000A2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The Supplier will pay, excluding VAT,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Management Charge] % of all the Charges for the Deliverables invoiced to the Buyer under all Call-Off Contracts.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Manager</w:t>
            </w:r>
          </w:p>
        </w:tc>
        <w:tc>
          <w:tcPr/>
          <w:p w:rsidR="00000000" w:rsidDel="00000000" w:rsidP="00000000" w:rsidRDefault="00000000" w:rsidRPr="00000000" w14:paraId="000000A7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A8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A9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AA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Authorised Representative</w:t>
            </w:r>
          </w:p>
        </w:tc>
        <w:tc>
          <w:tcPr/>
          <w:p w:rsidR="00000000" w:rsidDel="00000000" w:rsidP="00000000" w:rsidRDefault="00000000" w:rsidRPr="00000000" w14:paraId="000000AE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AF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B0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B1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Compliance Officer</w:t>
            </w:r>
          </w:p>
        </w:tc>
        <w:tc>
          <w:tcPr/>
          <w:p w:rsidR="00000000" w:rsidDel="00000000" w:rsidP="00000000" w:rsidRDefault="00000000" w:rsidRPr="00000000" w14:paraId="000000B5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B6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B7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B8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Supplier Data Protection 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Officer</w:t>
            </w:r>
          </w:p>
        </w:tc>
        <w:tc>
          <w:tcPr/>
          <w:p w:rsidR="00000000" w:rsidDel="00000000" w:rsidP="00000000" w:rsidRDefault="00000000" w:rsidRPr="00000000" w14:paraId="000000BC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BD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BE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BF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Data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Protection Liability Cap</w:t>
            </w:r>
          </w:p>
        </w:tc>
        <w:tc>
          <w:tcPr/>
          <w:p w:rsidR="00000000" w:rsidDel="00000000" w:rsidP="00000000" w:rsidRDefault="00000000" w:rsidRPr="00000000" w14:paraId="000000C2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[£10,000,000]</w:t>
            </w:r>
          </w:p>
          <w:p w:rsidR="00000000" w:rsidDel="00000000" w:rsidP="00000000" w:rsidRDefault="00000000" w:rsidRPr="00000000" w14:paraId="000000C3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Category colleagues must consider whether the £10 million Data Protection Liability Cap within Clause 11.6 is appropriate for their procurement.  Adjustments to the default £10 million value must be justified.  If an adjustment is required replace the “[£10,000,000]” in this line of the Framework Award Form with the required cap as a number denominated in pounds sterling.]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Marketing Contact</w:t>
            </w:r>
          </w:p>
        </w:tc>
        <w:tc>
          <w:tcPr/>
          <w:p w:rsidR="00000000" w:rsidDel="00000000" w:rsidP="00000000" w:rsidRDefault="00000000" w:rsidRPr="00000000" w14:paraId="000000C8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C9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CA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CB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Key Subcontractors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E">
            <w:pPr>
              <w:pageBreakBefore w:val="0"/>
              <w:spacing w:after="120" w:before="12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Key Subcontractor 1</w:t>
            </w:r>
          </w:p>
          <w:p w:rsidR="00000000" w:rsidDel="00000000" w:rsidP="00000000" w:rsidRDefault="00000000" w:rsidRPr="00000000" w14:paraId="000000CF">
            <w:pPr>
              <w:pageBreakBefore w:val="0"/>
              <w:spacing w:after="120" w:before="12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Name (Registered name if registered) 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D0">
            <w:pPr>
              <w:pageBreakBefore w:val="0"/>
              <w:spacing w:after="120" w:before="12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Registration number (if registered) 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number]</w:t>
            </w:r>
          </w:p>
          <w:p w:rsidR="00000000" w:rsidDel="00000000" w:rsidP="00000000" w:rsidRDefault="00000000" w:rsidRPr="00000000" w14:paraId="000000D1">
            <w:pPr>
              <w:pageBreakBefore w:val="0"/>
              <w:spacing w:after="120" w:before="12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Role of Subcontractor 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role]</w:t>
            </w:r>
          </w:p>
          <w:p w:rsidR="00000000" w:rsidDel="00000000" w:rsidP="00000000" w:rsidRDefault="00000000" w:rsidRPr="00000000" w14:paraId="000000D2">
            <w:pPr>
              <w:pageBreakBefore w:val="0"/>
              <w:spacing w:after="120" w:before="120" w:lineRule="auto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[Guidance: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copy above lines as needed]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CCS 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Authorised Representative</w:t>
            </w:r>
          </w:p>
        </w:tc>
        <w:tc>
          <w:tcPr/>
          <w:p w:rsidR="00000000" w:rsidDel="00000000" w:rsidP="00000000" w:rsidRDefault="00000000" w:rsidRPr="00000000" w14:paraId="000000D6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name]</w:t>
            </w:r>
          </w:p>
          <w:p w:rsidR="00000000" w:rsidDel="00000000" w:rsidP="00000000" w:rsidRDefault="00000000" w:rsidRPr="00000000" w14:paraId="000000D7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D8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D9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</w:tbl>
    <w:p w:rsidR="00000000" w:rsidDel="00000000" w:rsidP="00000000" w:rsidRDefault="00000000" w:rsidRPr="00000000" w14:paraId="000000DA">
      <w:pPr>
        <w:pageBreakBefore w:val="0"/>
        <w:rPr>
          <w:rFonts w:ascii="Arial" w:cs="Arial" w:eastAsia="Arial" w:hAnsi="Arial"/>
          <w:i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pageBreakBefore w:val="0"/>
        <w:rPr>
          <w:rFonts w:ascii="Arial" w:cs="Arial" w:eastAsia="Arial" w:hAnsi="Arial"/>
          <w:i w:val="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170.000000000002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1526"/>
        <w:gridCol w:w="2980"/>
        <w:gridCol w:w="1698"/>
        <w:gridCol w:w="2966"/>
        <w:tblGridChange w:id="0">
          <w:tblGrid>
            <w:gridCol w:w="1526"/>
            <w:gridCol w:w="2980"/>
            <w:gridCol w:w="1698"/>
            <w:gridCol w:w="2966"/>
          </w:tblGrid>
        </w:tblGridChange>
      </w:tblGrid>
      <w:tr>
        <w:trPr>
          <w:cantSplit w:val="0"/>
          <w:trHeight w:val="63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DC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 and on behalf of the Supplier: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E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 and on behalf of CCS:</w:t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E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E1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2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E3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E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E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6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E7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E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E9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E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3" w:hRule="atLeast"/>
          <w:tblHeader w:val="0"/>
        </w:trPr>
        <w:tc>
          <w:tcPr/>
          <w:p w:rsidR="00000000" w:rsidDel="00000000" w:rsidP="00000000" w:rsidRDefault="00000000" w:rsidRPr="00000000" w14:paraId="000000EC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ED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E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EF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30j0zll" w:id="1"/>
    <w:bookmarkEnd w:id="1"/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92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6">
    <w:pPr>
      <w:pageBreakBefore w:val="0"/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7">
    <w:pPr>
      <w:pageBreakBefore w:val="0"/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F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9">
    <w:pPr>
      <w:pageBreakBefore w:val="0"/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 : v2.9</w:t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A">
    <w:pPr>
      <w:pageBreakBefore w:val="0"/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B">
    <w:pPr>
      <w:pageBreakBefore w:val="0"/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F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D">
    <w:pPr>
      <w:pageBreakBefore w:val="0"/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v3.8</w:t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Framework Award Form</w:t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Framework Award Form</w:t>
    </w:r>
  </w:p>
  <w:p w:rsidR="00000000" w:rsidDel="00000000" w:rsidP="00000000" w:rsidRDefault="00000000" w:rsidRPr="00000000" w14:paraId="000000F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644" w:hanging="359.99999999999994"/>
      </w:pPr>
      <w:rPr>
        <w:b w:val="1"/>
      </w:rPr>
    </w:lvl>
    <w:lvl w:ilvl="1">
      <w:start w:val="1"/>
      <w:numFmt w:val="lowerLetter"/>
      <w:lvlText w:val="%2."/>
      <w:lvlJc w:val="left"/>
      <w:pPr>
        <w:ind w:left="1364" w:hanging="360"/>
      </w:pPr>
      <w:rPr/>
    </w:lvl>
    <w:lvl w:ilvl="2">
      <w:start w:val="1"/>
      <w:numFmt w:val="lowerRoman"/>
      <w:lvlText w:val="%3."/>
      <w:lvlJc w:val="right"/>
      <w:pPr>
        <w:ind w:left="2084" w:hanging="180"/>
      </w:pPr>
      <w:rPr/>
    </w:lvl>
    <w:lvl w:ilvl="3">
      <w:start w:val="1"/>
      <w:numFmt w:val="decimal"/>
      <w:lvlText w:val="%4."/>
      <w:lvlJc w:val="left"/>
      <w:pPr>
        <w:ind w:left="2804" w:hanging="360"/>
      </w:pPr>
      <w:rPr/>
    </w:lvl>
    <w:lvl w:ilvl="4">
      <w:start w:val="1"/>
      <w:numFmt w:val="lowerLetter"/>
      <w:lvlText w:val="%5."/>
      <w:lvlJc w:val="left"/>
      <w:pPr>
        <w:ind w:left="3524" w:hanging="360"/>
      </w:pPr>
      <w:rPr/>
    </w:lvl>
    <w:lvl w:ilvl="5">
      <w:start w:val="1"/>
      <w:numFmt w:val="lowerRoman"/>
      <w:lvlText w:val="%6."/>
      <w:lvlJc w:val="right"/>
      <w:pPr>
        <w:ind w:left="4244" w:hanging="180"/>
      </w:pPr>
      <w:rPr/>
    </w:lvl>
    <w:lvl w:ilvl="6">
      <w:start w:val="1"/>
      <w:numFmt w:val="decimal"/>
      <w:lvlText w:val="%7."/>
      <w:lvlJc w:val="left"/>
      <w:pPr>
        <w:ind w:left="4964" w:hanging="360"/>
      </w:pPr>
      <w:rPr/>
    </w:lvl>
    <w:lvl w:ilvl="7">
      <w:start w:val="1"/>
      <w:numFmt w:val="lowerLetter"/>
      <w:lvlText w:val="%8."/>
      <w:lvlJc w:val="left"/>
      <w:pPr>
        <w:ind w:left="5684" w:hanging="360"/>
      </w:pPr>
      <w:rPr/>
    </w:lvl>
    <w:lvl w:ilvl="8">
      <w:start w:val="1"/>
      <w:numFmt w:val="lowerRoman"/>
      <w:lvlText w:val="%9."/>
      <w:lvlJc w:val="right"/>
      <w:pPr>
        <w:ind w:left="6404" w:hanging="180"/>
      </w:pPr>
      <w:rPr/>
    </w:lvl>
  </w:abstractNum>
  <w:abstractNum w:abstractNumId="4">
    <w:lvl w:ilvl="0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decimal"/>
      <w:lvlText w:val="%1."/>
      <w:lvlJc w:val="left"/>
      <w:pPr>
        <w:ind w:left="45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tabs>
        <w:tab w:val="left" w:pos="-5585"/>
      </w:tabs>
      <w:spacing w:after="120" w:line="240" w:lineRule="auto"/>
      <w:ind w:left="2665" w:hanging="964"/>
      <w:jc w:val="both"/>
    </w:pPr>
    <w:rPr>
      <w:rFonts w:ascii="Arial" w:cs="Arial" w:eastAsia="Arial" w:hAnsi="Arial"/>
    </w:rPr>
  </w:style>
  <w:style w:type="paragraph" w:styleId="Heading6">
    <w:name w:val="heading 6"/>
    <w:basedOn w:val="Normal"/>
    <w:next w:val="Normal"/>
    <w:pPr>
      <w:pageBreakBefore w:val="0"/>
      <w:tabs>
        <w:tab w:val="left" w:pos="-8987"/>
        <w:tab w:val="left" w:pos="-8420"/>
      </w:tabs>
      <w:spacing w:after="120" w:line="240" w:lineRule="auto"/>
      <w:ind w:left="2665" w:hanging="964"/>
      <w:jc w:val="both"/>
    </w:pPr>
    <w:rPr>
      <w:rFonts w:ascii="Arial" w:cs="Arial" w:eastAsia="Arial" w:hAnsi="Arial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pPr>
      <w:suppressAutoHyphens w:val="1"/>
      <w:spacing w:after="200" w:line="276" w:lineRule="auto"/>
    </w:pPr>
    <w:rPr>
      <w:sz w:val="22"/>
      <w:szCs w:val="22"/>
      <w:lang w:eastAsia="en-US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numbering" w:styleId="WWOutlineListStyle8" w:customStyle="1">
    <w:name w:val="WW_OutlineListStyle_8"/>
    <w:basedOn w:val="NoList"/>
    <w:pPr>
      <w:numPr>
        <w:numId w:val="1"/>
      </w:numPr>
    </w:pPr>
  </w:style>
  <w:style w:type="paragraph" w:styleId="Level1Heading" w:customStyle="1">
    <w:name w:val="Level 1 Heading"/>
    <w:basedOn w:val="BodyText"/>
    <w:next w:val="Normal"/>
    <w:pPr>
      <w:keepNext w:val="1"/>
      <w:tabs>
        <w:tab w:val="left" w:pos="-1342"/>
      </w:tabs>
      <w:suppressAutoHyphens w:val="0"/>
      <w:spacing w:after="200" w:before="360" w:line="360" w:lineRule="auto"/>
      <w:textAlignment w:val="auto"/>
      <w:outlineLvl w:val="0"/>
    </w:pPr>
    <w:rPr>
      <w:rFonts w:ascii="Arial" w:eastAsia="Times New Roman" w:hAnsi="Arial"/>
      <w:b w:val="1"/>
      <w:szCs w:val="20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-3864"/>
      </w:tabs>
      <w:suppressAutoHyphens w:val="0"/>
      <w:spacing w:after="240" w:before="240" w:line="240" w:lineRule="auto"/>
      <w:jc w:val="both"/>
      <w:textAlignment w:val="auto"/>
      <w:outlineLvl w:val="1"/>
    </w:pPr>
    <w:rPr>
      <w:rFonts w:ascii="Arial Bold" w:cs="Arial" w:eastAsia="STZhongsong" w:hAnsi="Arial Bold"/>
      <w:b w:val="1"/>
      <w:caps w:val="1"/>
      <w:lang w:eastAsia="zh-CN"/>
    </w:rPr>
  </w:style>
  <w:style w:type="character" w:styleId="Heading5Char" w:customStyle="1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6Char" w:customStyle="1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494" w:hanging="218"/>
      <w:jc w:val="both"/>
      <w:textAlignment w:val="auto"/>
    </w:pPr>
    <w:rPr>
      <w:rFonts w:cs="Arial" w:eastAsia="Times New Roman"/>
      <w:b w:val="1"/>
      <w:lang w:eastAsia="zh-CN"/>
    </w:rPr>
  </w:style>
  <w:style w:type="paragraph" w:styleId="BodyText1" w:customStyle="1">
    <w:name w:val="Body Text 1"/>
    <w:basedOn w:val="BodyText"/>
    <w:pPr>
      <w:suppressAutoHyphens w:val="0"/>
      <w:spacing w:after="240" w:line="360" w:lineRule="auto"/>
      <w:ind w:left="851"/>
      <w:textAlignment w:val="auto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 w:val="1"/>
      <w:iCs w:val="1"/>
    </w:rPr>
  </w:style>
  <w:style w:type="paragraph" w:styleId="11table" w:customStyle="1">
    <w:name w:val="1.1 table"/>
    <w:basedOn w:val="Normal"/>
    <w:qFormat w:val="1"/>
    <w:pPr>
      <w:numPr>
        <w:numId w:val="11"/>
      </w:numPr>
      <w:suppressAutoHyphens w:val="0"/>
      <w:spacing w:after="0" w:line="240" w:lineRule="auto"/>
      <w:textAlignment w:val="auto"/>
    </w:pPr>
    <w:rPr>
      <w:rFonts w:eastAsia="STZhongsong"/>
      <w:b w:val="1"/>
      <w:lang w:eastAsia="zh-CN"/>
    </w:rPr>
  </w:style>
  <w:style w:type="character" w:styleId="11tableChar" w:customStyle="1">
    <w:name w:val="1.1 table Char"/>
    <w:rPr>
      <w:rFonts w:eastAsia="STZhongsong"/>
      <w:b w:val="1"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rPr>
      <w:rFonts w:ascii="Tahoma" w:cs="Tahoma" w:hAnsi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uiPriority w:val="99"/>
    <w:rPr>
      <w:sz w:val="22"/>
      <w:szCs w:val="22"/>
      <w:lang w:eastAsia="en-US"/>
    </w:rPr>
  </w:style>
  <w:style w:type="paragraph" w:styleId="MarginText" w:customStyle="1">
    <w:name w:val="Margin Text"/>
    <w:basedOn w:val="Normal"/>
    <w:pPr>
      <w:keepNext w:val="1"/>
      <w:suppressAutoHyphens w:val="0"/>
      <w:spacing w:after="120" w:before="240" w:line="240" w:lineRule="auto"/>
      <w:ind w:left="142"/>
      <w:jc w:val="both"/>
      <w:textAlignment w:val="auto"/>
    </w:pPr>
    <w:rPr>
      <w:rFonts w:ascii="Arial" w:eastAsia="STZhongsong" w:hAnsi="Arial"/>
      <w:sz w:val="18"/>
      <w:szCs w:val="18"/>
      <w:lang w:eastAsia="zh-CN"/>
    </w:rPr>
  </w:style>
  <w:style w:type="character" w:styleId="MarginTextChar" w:customStyle="1">
    <w:name w:val="Margin Text Char"/>
    <w:rPr>
      <w:rFonts w:ascii="Arial" w:eastAsia="STZhongsong" w:hAnsi="Arial"/>
      <w:sz w:val="18"/>
      <w:szCs w:val="18"/>
      <w:lang w:eastAsia="zh-CN"/>
    </w:rPr>
  </w:style>
  <w:style w:type="paragraph" w:styleId="GPSL2numberedclause" w:customStyle="1">
    <w:name w:val="GPS L2 numbered clause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134" w:hanging="567"/>
      <w:jc w:val="both"/>
      <w:textAlignment w:val="auto"/>
    </w:pPr>
    <w:rPr>
      <w:rFonts w:cs="Arial" w:eastAsia="Times New Roman"/>
      <w:lang w:eastAsia="zh-CN"/>
    </w:rPr>
  </w:style>
  <w:style w:type="paragraph" w:styleId="GPSL3numberedclause" w:customStyle="1">
    <w:name w:val="GPS L3 numbered clause"/>
    <w:basedOn w:val="GPSL2numberedclause"/>
    <w:qFormat w:val="1"/>
    <w:pPr>
      <w:tabs>
        <w:tab w:val="clear" w:pos="1134"/>
        <w:tab w:val="left" w:pos="1985"/>
        <w:tab w:val="left" w:pos="2127"/>
      </w:tabs>
      <w:ind w:left="1985" w:hanging="851"/>
    </w:pPr>
  </w:style>
  <w:style w:type="paragraph" w:styleId="GPSL4numberedclause" w:customStyle="1">
    <w:name w:val="GPS L4 numbered clause"/>
    <w:basedOn w:val="GPSL3numberedclause"/>
    <w:qFormat w:val="1"/>
    <w:pPr>
      <w:tabs>
        <w:tab w:val="clear" w:pos="2127"/>
      </w:tabs>
      <w:ind w:left="2835" w:hanging="708"/>
    </w:pPr>
    <w:rPr>
      <w:szCs w:val="20"/>
    </w:rPr>
  </w:style>
  <w:style w:type="character" w:styleId="GPSL2numberedclauseChar1" w:customStyle="1">
    <w:name w:val="GPS L2 numbered clause Char1"/>
    <w:rPr>
      <w:rFonts w:cs="Arial" w:eastAsia="Times New Roman"/>
      <w:sz w:val="22"/>
      <w:szCs w:val="22"/>
      <w:lang w:eastAsia="zh-CN"/>
    </w:rPr>
  </w:style>
  <w:style w:type="character" w:styleId="GPSL3numberedclauseChar" w:customStyle="1">
    <w:name w:val="GPS L3 numbered clause Char"/>
    <w:rPr>
      <w:rFonts w:cs="Arial" w:eastAsia="Times New Roman"/>
      <w:sz w:val="22"/>
      <w:szCs w:val="22"/>
      <w:lang w:eastAsia="zh-CN"/>
    </w:rPr>
  </w:style>
  <w:style w:type="paragraph" w:styleId="GPSL5numberedclause" w:customStyle="1">
    <w:name w:val="GPS L5 numbered clause"/>
    <w:basedOn w:val="GPSL4numberedclause"/>
    <w:qFormat w:val="1"/>
    <w:pPr>
      <w:tabs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numPr>
        <w:numId w:val="12"/>
      </w:numPr>
      <w:tabs>
        <w:tab w:val="clear" w:pos="1985"/>
        <w:tab w:val="clear" w:pos="3402"/>
        <w:tab w:val="left" w:pos="24049"/>
        <w:tab w:val="left" w:pos="25466"/>
        <w:tab w:val="left" w:pos="26317"/>
      </w:tabs>
    </w:pPr>
  </w:style>
  <w:style w:type="paragraph" w:styleId="Style1" w:customStyle="1">
    <w:name w:val="Style1"/>
    <w:basedOn w:val="ListParagraph"/>
    <w:pPr>
      <w:numPr>
        <w:numId w:val="10"/>
      </w:numPr>
    </w:pPr>
    <w:rPr>
      <w:b w:val="1"/>
      <w:sz w:val="20"/>
    </w:rPr>
  </w:style>
  <w:style w:type="character" w:styleId="ListParagraphChar" w:customStyle="1">
    <w:name w:val="List Paragraph Char"/>
    <w:basedOn w:val="DefaultParagraphFont"/>
    <w:rPr>
      <w:sz w:val="22"/>
      <w:szCs w:val="22"/>
      <w:lang w:eastAsia="en-US"/>
    </w:rPr>
  </w:style>
  <w:style w:type="character" w:styleId="Style1Char" w:customStyle="1">
    <w:name w:val="Style1 Char"/>
    <w:basedOn w:val="ListParagraphChar"/>
    <w:rPr>
      <w:b w:val="1"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 w:val="1"/>
      <w:bCs w:val="1"/>
    </w:rPr>
  </w:style>
  <w:style w:type="character" w:styleId="CommentSubjectChar" w:customStyle="1">
    <w:name w:val="Comment Subject Char"/>
    <w:basedOn w:val="CommentTextChar"/>
    <w:rPr>
      <w:b w:val="1"/>
      <w:bCs w:val="1"/>
      <w:lang w:eastAsia="en-US"/>
    </w:rPr>
  </w:style>
  <w:style w:type="paragraph" w:styleId="Revision">
    <w:name w:val="Revision"/>
    <w:pPr>
      <w:textAlignment w:val="auto"/>
    </w:pPr>
    <w:rPr>
      <w:sz w:val="22"/>
      <w:szCs w:val="22"/>
      <w:lang w:eastAsia="en-US"/>
    </w:rPr>
  </w:style>
  <w:style w:type="paragraph" w:styleId="GPsDefinition" w:customStyle="1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styleId="GPSDefinitionL2Char" w:customStyle="1">
    <w:name w:val="GPS Definition L2 Char"/>
    <w:rPr>
      <w:rFonts w:ascii="Arial" w:cs="Arial" w:eastAsia="Times New Roman" w:hAnsi="Arial"/>
      <w:sz w:val="22"/>
      <w:szCs w:val="22"/>
      <w:lang w:eastAsia="en-US"/>
    </w:rPr>
  </w:style>
  <w:style w:type="paragraph" w:styleId="GPSDefinitionL3" w:customStyle="1">
    <w:name w:val="GPS Definition L3"/>
    <w:basedOn w:val="GPSDefinitionL2"/>
  </w:style>
  <w:style w:type="paragraph" w:styleId="GPSDefinitionL4" w:customStyle="1">
    <w:name w:val="GPS Definition L4"/>
    <w:basedOn w:val="GPSDefinitionL3"/>
    <w:pPr>
      <w:numPr>
        <w:numId w:val="13"/>
      </w:numPr>
      <w:tabs>
        <w:tab w:val="clear" w:pos="-576"/>
        <w:tab w:val="left" w:pos="-2316"/>
        <w:tab w:val="left" w:pos="-2100"/>
      </w:tabs>
    </w:pPr>
  </w:style>
  <w:style w:type="character" w:styleId="GPSDefinitionL3Char" w:customStyle="1">
    <w:name w:val="GPS Definition L3 Char"/>
    <w:rPr>
      <w:rFonts w:ascii="Arial" w:cs="Arial" w:eastAsia="Times New Roman" w:hAnsi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cs="Arial" w:eastAsia="Times New Roman" w:hAnsi="Arial"/>
      <w:sz w:val="20"/>
      <w:szCs w:val="20"/>
    </w:rPr>
  </w:style>
  <w:style w:type="character" w:styleId="FootnoteTextChar" w:customStyle="1">
    <w:name w:val="Footnote Text Char"/>
    <w:basedOn w:val="DefaultParagraphFont"/>
    <w:rPr>
      <w:rFonts w:ascii="Arial" w:cs="Arial" w:eastAsia="Times New Roman" w:hAnsi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styleId="BodyTextChar" w:customStyle="1">
    <w:name w:val="Body Text Char"/>
    <w:basedOn w:val="DefaultParagraphFont"/>
    <w:rPr>
      <w:sz w:val="22"/>
      <w:szCs w:val="22"/>
      <w:lang w:eastAsia="en-US"/>
    </w:rPr>
  </w:style>
  <w:style w:type="paragraph" w:styleId="Level2Heading" w:customStyle="1">
    <w:name w:val="Level 2 Heading"/>
    <w:basedOn w:val="BodyText"/>
    <w:next w:val="BodyText2"/>
    <w:pPr>
      <w:keepNext w:val="1"/>
      <w:tabs>
        <w:tab w:val="left" w:pos="360"/>
      </w:tabs>
      <w:suppressAutoHyphens w:val="0"/>
      <w:spacing w:after="200" w:before="360" w:line="360" w:lineRule="auto"/>
      <w:textAlignment w:val="auto"/>
      <w:outlineLvl w:val="1"/>
    </w:pPr>
    <w:rPr>
      <w:rFonts w:ascii="Arial" w:eastAsia="Times New Roman" w:hAnsi="Arial"/>
      <w:b w:val="1"/>
      <w:sz w:val="20"/>
      <w:szCs w:val="20"/>
      <w:lang w:eastAsia="en-GB"/>
    </w:rPr>
  </w:style>
  <w:style w:type="paragraph" w:styleId="Level3Number" w:customStyle="1">
    <w:name w:val="Level 3 Number"/>
    <w:basedOn w:val="BodyText"/>
    <w:pPr>
      <w:tabs>
        <w:tab w:val="left" w:pos="360"/>
      </w:tabs>
      <w:suppressAutoHyphens w:val="0"/>
      <w:spacing w:after="200" w:before="36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Level4Number" w:customStyle="1">
    <w:name w:val="Level 4 Number"/>
    <w:basedOn w:val="BodyText"/>
    <w:pPr>
      <w:tabs>
        <w:tab w:val="left" w:pos="360"/>
      </w:tabs>
      <w:suppressAutoHyphens w:val="0"/>
      <w:spacing w:after="200" w:before="36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Level5Number" w:customStyle="1">
    <w:name w:val="Level 5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Level6Number" w:customStyle="1">
    <w:name w:val="Level 6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Level7Number" w:customStyle="1">
    <w:name w:val="Level 7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Level8Number" w:customStyle="1">
    <w:name w:val="Level 8 Number"/>
    <w:basedOn w:val="BodyText"/>
    <w:pPr>
      <w:numPr>
        <w:numId w:val="14"/>
      </w:numPr>
      <w:tabs>
        <w:tab w:val="left" w:pos="-3895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styleId="BodyText2Char" w:customStyle="1">
    <w:name w:val="Body Text 2 Char"/>
    <w:basedOn w:val="DefaultParagraphFont"/>
    <w:rPr>
      <w:sz w:val="22"/>
      <w:szCs w:val="22"/>
      <w:lang w:eastAsia="en-US"/>
    </w:rPr>
  </w:style>
  <w:style w:type="character" w:styleId="GPSL2NumberedBoldHeadingChar" w:customStyle="1">
    <w:name w:val="GPS L2 Numbered Bold Heading Char"/>
    <w:rPr>
      <w:rFonts w:cs="Arial" w:eastAsia="Times New Roman"/>
      <w:b w:val="1"/>
      <w:sz w:val="22"/>
      <w:szCs w:val="22"/>
      <w:lang w:eastAsia="zh-CN"/>
    </w:rPr>
  </w:style>
  <w:style w:type="paragraph" w:styleId="GPSL2Indent" w:customStyle="1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cs="Arial" w:eastAsia="Times New Roman"/>
      <w:szCs w:val="24"/>
    </w:rPr>
  </w:style>
  <w:style w:type="paragraph" w:styleId="GPSL2Numbered" w:customStyle="1">
    <w:name w:val="GPS L2 Numbered"/>
    <w:basedOn w:val="GPSL2NumberedBoldHeading"/>
    <w:qFormat w:val="1"/>
    <w:pPr>
      <w:tabs>
        <w:tab w:val="left" w:pos="709"/>
      </w:tabs>
      <w:ind w:hanging="360"/>
    </w:pPr>
    <w:rPr>
      <w:b w:val="0"/>
    </w:rPr>
  </w:style>
  <w:style w:type="character" w:styleId="GPSL2NumberedChar" w:customStyle="1">
    <w:name w:val="GPS L2 Numbered Char"/>
    <w:rPr>
      <w:rFonts w:cs="Arial" w:eastAsia="Times New Roman"/>
      <w:sz w:val="22"/>
      <w:szCs w:val="22"/>
      <w:lang w:eastAsia="zh-CN"/>
    </w:rPr>
  </w:style>
  <w:style w:type="character" w:styleId="GPSL2IndentChar" w:customStyle="1">
    <w:name w:val="GPS L2 Indent Char"/>
    <w:rPr>
      <w:rFonts w:cs="Arial" w:eastAsia="Times New Roman"/>
      <w:sz w:val="22"/>
      <w:szCs w:val="24"/>
      <w:lang w:eastAsia="en-US"/>
    </w:rPr>
  </w:style>
  <w:style w:type="character" w:styleId="GPSL4numberedclauseChar" w:customStyle="1">
    <w:name w:val="GPS L4 numbered clause Char"/>
    <w:rPr>
      <w:rFonts w:cs="Arial" w:eastAsia="Times New Roman"/>
      <w:sz w:val="22"/>
      <w:lang w:eastAsia="zh-CN"/>
    </w:rPr>
  </w:style>
  <w:style w:type="paragraph" w:styleId="GPSL3Indent" w:customStyle="1">
    <w:name w:val="GPS L3 Indent"/>
    <w:basedOn w:val="Normal"/>
    <w:pPr>
      <w:tabs>
        <w:tab w:val="left" w:pos="2127"/>
      </w:tabs>
      <w:suppressAutoHyphens w:val="0"/>
      <w:spacing w:after="120" w:before="120" w:line="240" w:lineRule="auto"/>
      <w:ind w:left="2127"/>
      <w:jc w:val="both"/>
      <w:textAlignment w:val="auto"/>
    </w:pPr>
    <w:rPr>
      <w:rFonts w:ascii="Arial" w:cs="Arial" w:eastAsia="Times New Roman" w:hAnsi="Arial"/>
      <w:lang w:eastAsia="zh-CN" w:val="en-US"/>
    </w:rPr>
  </w:style>
  <w:style w:type="character" w:styleId="GPSL3IndentChar" w:customStyle="1">
    <w:name w:val="GPS L3 Indent Char"/>
    <w:rPr>
      <w:rFonts w:ascii="Arial" w:cs="Arial" w:eastAsia="Times New Roman" w:hAnsi="Arial"/>
      <w:sz w:val="22"/>
      <w:szCs w:val="22"/>
      <w:lang w:eastAsia="zh-CN" w:val="en-US"/>
    </w:rPr>
  </w:style>
  <w:style w:type="character" w:styleId="GPSL5numberedclauseChar" w:customStyle="1">
    <w:name w:val="GPS L5 numbered clause Char"/>
    <w:rPr>
      <w:rFonts w:cs="Arial" w:eastAsia="Times New Roman"/>
      <w:sz w:val="22"/>
      <w:lang w:eastAsia="zh-CN"/>
    </w:rPr>
  </w:style>
  <w:style w:type="paragraph" w:styleId="Body3" w:customStyle="1">
    <w:name w:val="Body3"/>
    <w:basedOn w:val="Normal"/>
    <w:pPr>
      <w:suppressAutoHyphens w:val="0"/>
      <w:spacing w:after="220" w:line="240" w:lineRule="auto"/>
      <w:ind w:left="1412"/>
      <w:jc w:val="both"/>
      <w:textAlignment w:val="auto"/>
    </w:pPr>
    <w:rPr>
      <w:rFonts w:ascii="Trebuchet MS" w:eastAsia="Times New Roman" w:hAnsi="Trebuchet MS"/>
      <w:sz w:val="20"/>
      <w:szCs w:val="20"/>
    </w:rPr>
  </w:style>
  <w:style w:type="paragraph" w:styleId="GPSDefinitionTerm" w:customStyle="1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cs="Arial" w:eastAsia="Times New Roman"/>
      <w:b w:val="1"/>
    </w:rPr>
  </w:style>
  <w:style w:type="character" w:styleId="Heading7Char" w:customStyle="1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8Char" w:customStyle="1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4boldheading" w:customStyle="1">
    <w:name w:val="GPS L4 bold heading"/>
    <w:basedOn w:val="GPSL3numberedclause"/>
    <w:pPr>
      <w:numPr>
        <w:numId w:val="5"/>
      </w:numPr>
    </w:pPr>
    <w:rPr>
      <w:b w:val="1"/>
    </w:rPr>
  </w:style>
  <w:style w:type="character" w:styleId="GPSL4boldheadingChar" w:customStyle="1">
    <w:name w:val="GPS L4 bold heading Char"/>
    <w:rPr>
      <w:rFonts w:cs="Arial" w:eastAsia="Times New Roman"/>
      <w:b w:val="1"/>
      <w:sz w:val="22"/>
      <w:szCs w:val="22"/>
      <w:lang w:eastAsia="zh-CN"/>
    </w:rPr>
  </w:style>
  <w:style w:type="numbering" w:styleId="WWOutlineListStyle7" w:customStyle="1">
    <w:name w:val="WW_OutlineListStyle_7"/>
    <w:basedOn w:val="NoList"/>
    <w:pPr>
      <w:numPr>
        <w:numId w:val="2"/>
      </w:numPr>
    </w:pPr>
  </w:style>
  <w:style w:type="numbering" w:styleId="WWOutlineListStyle6" w:customStyle="1">
    <w:name w:val="WW_OutlineListStyle_6"/>
    <w:basedOn w:val="NoList"/>
    <w:pPr>
      <w:numPr>
        <w:numId w:val="3"/>
      </w:numPr>
    </w:pPr>
  </w:style>
  <w:style w:type="numbering" w:styleId="WWOutlineListStyle5" w:customStyle="1">
    <w:name w:val="WW_OutlineListStyle_5"/>
    <w:basedOn w:val="NoList"/>
    <w:pPr>
      <w:numPr>
        <w:numId w:val="4"/>
      </w:numPr>
    </w:pPr>
  </w:style>
  <w:style w:type="numbering" w:styleId="WWOutlineListStyle4" w:customStyle="1">
    <w:name w:val="WW_OutlineListStyle_4"/>
    <w:basedOn w:val="NoList"/>
    <w:pPr>
      <w:numPr>
        <w:numId w:val="5"/>
      </w:numPr>
    </w:pPr>
  </w:style>
  <w:style w:type="numbering" w:styleId="WWOutlineListStyle3" w:customStyle="1">
    <w:name w:val="WW_OutlineListStyle_3"/>
    <w:basedOn w:val="NoList"/>
    <w:pPr>
      <w:numPr>
        <w:numId w:val="6"/>
      </w:numPr>
    </w:pPr>
  </w:style>
  <w:style w:type="numbering" w:styleId="WWOutlineListStyle2" w:customStyle="1">
    <w:name w:val="WW_OutlineListStyle_2"/>
    <w:basedOn w:val="NoList"/>
    <w:pPr>
      <w:numPr>
        <w:numId w:val="7"/>
      </w:numPr>
    </w:pPr>
  </w:style>
  <w:style w:type="numbering" w:styleId="WWOutlineListStyle1" w:customStyle="1">
    <w:name w:val="WW_OutlineListStyle_1"/>
    <w:basedOn w:val="NoList"/>
    <w:pPr>
      <w:numPr>
        <w:numId w:val="8"/>
      </w:numPr>
    </w:pPr>
  </w:style>
  <w:style w:type="numbering" w:styleId="WWOutlineListStyle" w:customStyle="1">
    <w:name w:val="WW_OutlineListStyle"/>
    <w:basedOn w:val="NoList"/>
    <w:pPr>
      <w:numPr>
        <w:numId w:val="9"/>
      </w:numPr>
    </w:pPr>
  </w:style>
  <w:style w:type="numbering" w:styleId="LFO7" w:customStyle="1">
    <w:name w:val="LFO7"/>
    <w:basedOn w:val="NoList"/>
    <w:pPr>
      <w:numPr>
        <w:numId w:val="10"/>
      </w:numPr>
    </w:pPr>
  </w:style>
  <w:style w:type="numbering" w:styleId="LFO9" w:customStyle="1">
    <w:name w:val="LFO9"/>
    <w:basedOn w:val="NoList"/>
    <w:pPr>
      <w:numPr>
        <w:numId w:val="11"/>
      </w:numPr>
    </w:pPr>
  </w:style>
  <w:style w:type="numbering" w:styleId="LFO10" w:customStyle="1">
    <w:name w:val="LFO10"/>
    <w:basedOn w:val="NoList"/>
    <w:pPr>
      <w:numPr>
        <w:numId w:val="12"/>
      </w:numPr>
    </w:pPr>
  </w:style>
  <w:style w:type="numbering" w:styleId="LFO12" w:customStyle="1">
    <w:name w:val="LFO12"/>
    <w:basedOn w:val="NoList"/>
    <w:pPr>
      <w:numPr>
        <w:numId w:val="13"/>
      </w:numPr>
    </w:pPr>
  </w:style>
  <w:style w:type="numbering" w:styleId="LFO13" w:customStyle="1">
    <w:name w:val="LFO13"/>
    <w:basedOn w:val="NoList"/>
    <w:pPr>
      <w:numPr>
        <w:numId w:val="14"/>
      </w:numPr>
    </w:pPr>
  </w:style>
  <w:style w:type="table" w:styleId="LightShading-Accent5">
    <w:name w:val="Light Shading Accent 5"/>
    <w:basedOn w:val="TableNormal"/>
    <w:uiPriority w:val="60"/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TableGrid">
    <w:name w:val="Table Grid"/>
    <w:basedOn w:val="TableNormal"/>
    <w:uiPriority w:val="5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3-Accent51" w:customStyle="1">
    <w:name w:val="List Table 3 - Accent 51"/>
    <w:basedOn w:val="TableNormal"/>
    <w:uiPriority w:val="48"/>
    <w:tblPr>
      <w:tblStyleRowBandSize w:val="1"/>
      <w:tblStyleColBandSize w:val="1"/>
      <w:tblBorders>
        <w:top w:color="4bacc6" w:space="0" w:sz="4" w:themeColor="accent5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</w:tblBorders>
    </w:tblPr>
    <w:tblStylePr w:type="firstRow"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rPr>
        <w:b w:val="1"/>
        <w:bCs w:val="1"/>
      </w:rPr>
      <w:tblPr/>
      <w:tcPr>
        <w:tcBorders>
          <w:top w:color="4bacc6" w:space="0" w:sz="4" w:themeColor="accent5" w:val="doub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  <w:tcPr>
        <w:tcBorders>
          <w:right w:space="0" w:sz="0" w:val="nil"/>
        </w:tcBorders>
        <w:shd w:color="auto" w:fill="ffffff" w:themeFill="background1" w:val="clear"/>
      </w:tcPr>
    </w:tblStylePr>
    <w:tblStylePr w:type="lastCol">
      <w:rPr>
        <w:b w:val="1"/>
        <w:bCs w:val="1"/>
      </w:rPr>
      <w:tblPr/>
      <w:tcPr>
        <w:tcBorders>
          <w:left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4bacc6" w:space="0" w:sz="4" w:themeColor="accent5" w:val="single"/>
          <w:right w:color="4bacc6" w:space="0" w:sz="4" w:themeColor="accent5" w:val="single"/>
        </w:tcBorders>
      </w:tcPr>
    </w:tblStylePr>
    <w:tblStylePr w:type="band1Horz">
      <w:tblPr/>
      <w:tcPr>
        <w:tcBorders>
          <w:top w:color="4bacc6" w:space="0" w:sz="4" w:themeColor="accent5" w:val="single"/>
          <w:bottom w:color="4bacc6" w:space="0" w:sz="4" w:themeColor="accent5" w:val="single"/>
          <w:insideH w:space="0" w:sz="0" w:val="nil"/>
        </w:tcBorders>
      </w:tcPr>
    </w:tblStylePr>
    <w:tblStylePr w:type="neCell">
      <w:tblPr/>
      <w:tcPr>
        <w:tcBorders>
          <w:left w:space="0" w:sz="0" w:val="nil"/>
          <w:bottom w:space="0" w:sz="0" w:val="nil"/>
        </w:tcBorders>
      </w:tcPr>
    </w:tblStylePr>
    <w:tblStylePr w:type="nwCell">
      <w:tblPr/>
      <w:tcPr>
        <w:tcBorders>
          <w:bottom w:space="0" w:sz="0" w:val="nil"/>
          <w:right w:space="0" w:sz="0" w:val="nil"/>
        </w:tcBorders>
      </w:tcPr>
    </w:tblStylePr>
    <w:tblStylePr w:type="seCell">
      <w:tblPr/>
      <w:tcPr>
        <w:tcBorders>
          <w:top w:color="4bacc6" w:space="0" w:sz="4" w:themeColor="accent5" w:val="double"/>
          <w:left w:space="0" w:sz="0" w:val="nil"/>
        </w:tcBorders>
      </w:tcPr>
    </w:tblStylePr>
    <w:tblStylePr w:type="swCell">
      <w:tblPr/>
      <w:tcPr>
        <w:tcBorders>
          <w:top w:color="4bacc6" w:space="0" w:sz="4" w:themeColor="accent5" w:val="double"/>
          <w:right w:space="0" w:sz="0" w:val="nil"/>
        </w:tcBorders>
      </w:tcPr>
    </w:tblStylePr>
  </w:style>
  <w:style w:type="table" w:styleId="GridTable2-Accent51" w:customStyle="1">
    <w:name w:val="Grid Table 2 - Accent 51"/>
    <w:basedOn w:val="TableNormal"/>
    <w:uiPriority w:val="47"/>
    <w:tblPr>
      <w:tblStyleRowBandSize w:val="1"/>
      <w:tblStyleColBandSize w:val="1"/>
      <w:tblBorders>
        <w:top w:color="92cddc" w:space="0" w:sz="2" w:themeColor="accent5" w:themeTint="000099" w:val="single"/>
        <w:bottom w:color="92cddc" w:space="0" w:sz="2" w:themeColor="accent5" w:themeTint="000099" w:val="single"/>
        <w:insideH w:color="92cddc" w:space="0" w:sz="2" w:themeColor="accent5" w:themeTint="000099" w:val="single"/>
        <w:insideV w:color="92cddc" w:space="0" w:sz="2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2cddc" w:space="0" w:sz="12" w:themeColor="accent5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2cddc" w:space="0" w:sz="2" w:themeColor="accent5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2-Accent11" w:customStyle="1">
    <w:name w:val="Grid Table 2 - Accent 11"/>
    <w:basedOn w:val="TableNormal"/>
    <w:uiPriority w:val="47"/>
    <w:tblPr>
      <w:tblStyleRowBandSize w:val="1"/>
      <w:tblStyleColBandSize w:val="1"/>
      <w:tblBorders>
        <w:top w:color="95b3d7" w:space="0" w:sz="2" w:themeColor="accent1" w:themeTint="000099" w:val="single"/>
        <w:bottom w:color="95b3d7" w:space="0" w:sz="2" w:themeColor="accent1" w:themeTint="000099" w:val="single"/>
        <w:insideH w:color="95b3d7" w:space="0" w:sz="2" w:themeColor="accent1" w:themeTint="000099" w:val="single"/>
        <w:insideV w:color="95b3d7" w:space="0" w:sz="2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5b3d7" w:space="0" w:sz="12" w:themeColor="accent1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5b3d7" w:space="0" w:sz="2" w:themeColor="accent1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4-Accent11" w:customStyle="1">
    <w:name w:val="Grid Table 4 - Accent 11"/>
    <w:basedOn w:val="TableNormal"/>
    <w:uiPriority w:val="49"/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rPr>
        <w:b w:val="1"/>
        <w:bCs w:val="1"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6Colorful-Accent11" w:customStyle="1">
    <w:name w:val="Grid Table 6 Colorful - Accent 11"/>
    <w:basedOn w:val="TableNormal"/>
    <w:uiPriority w:val="51"/>
    <w:rPr>
      <w:color w:val="365f91" w:themeColor="accent1" w:themeShade="0000BF"/>
    </w:rPr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bottom w:color="95b3d7" w:space="0" w:sz="12" w:themeColor="accent1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5b3d7" w:space="0" w:sz="4" w:themeColor="accent1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paragraph" w:styleId="EndnoteText">
    <w:name w:val="endnote text"/>
    <w:basedOn w:val="Normal"/>
    <w:link w:val="End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 w:val="1"/>
    <w:rPr>
      <w:lang w:eastAsia="en-US"/>
    </w:rPr>
  </w:style>
  <w:style w:type="character" w:styleId="EndnoteReference">
    <w:name w:val="endnote reference"/>
    <w:basedOn w:val="DefaultParagraphFont"/>
    <w:uiPriority w:val="99"/>
    <w:semiHidden w:val="1"/>
    <w:unhideWhenUsed w:val="1"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firstRow">
      <w:pPr>
        <w:spacing w:after="0" w:before="0" w:line="240" w:lineRule="auto"/>
      </w:pPr>
      <w:rPr>
        <w:b w:val="1"/>
        <w:color w:val="ffffff"/>
      </w:rPr>
      <w:tcPr>
        <w:shd w:fill="000000" w:val="clear"/>
      </w:tcPr>
    </w:tblStylePr>
    <w:tblStylePr w:type="lastCol">
      <w:rPr>
        <w:b w:val="1"/>
      </w:rPr>
    </w:tblStylePr>
    <w:tblStylePr w:type="lastRow">
      <w:pPr>
        <w:spacing w:after="0" w:before="0" w:line="240" w:lineRule="auto"/>
      </w:pPr>
      <w:rPr>
        <w:b w:val="1"/>
      </w:rPr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Table2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95b3d7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5b3d7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footer" Target="footer1.xml"/><Relationship Id="rId12" Type="http://schemas.openxmlformats.org/officeDocument/2006/relationships/image" Target="media/image2.png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t+rYd5MXee74qc6XF2qMQUXs95Q==">AMUW2mUl3QQi5WM6xbEEyZiSNA/+EtJVmcLTNNFBfwMqE6HLSGxTVAKCYNkDvgRBVZjgkPHgFAuZ5XMFNprIU/Tin0MLpS9hu3s92f1+3AwS2FYvm7yesreejFgzDA3o642nFlYXau3iizOK5JluR+IS7xfMxfDOeg==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2020-12-22T17:10:00Z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